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4DE9" w14:textId="0CBC9309" w:rsidR="00121E9B" w:rsidRDefault="00AD40B5" w:rsidP="00CE394B">
      <w:pPr>
        <w:spacing w:after="60"/>
        <w:jc w:val="center"/>
        <w:rPr>
          <w:b/>
          <w:bCs/>
          <w:color w:val="1F4E79"/>
          <w:sz w:val="36"/>
          <w:szCs w:val="36"/>
        </w:rPr>
      </w:pPr>
      <w:r>
        <w:rPr>
          <w:b/>
          <w:bCs/>
          <w:color w:val="1F4E79"/>
          <w:sz w:val="36"/>
          <w:szCs w:val="36"/>
        </w:rPr>
        <w:t>Teme završnih i diplomskih radova</w:t>
      </w:r>
      <w:r w:rsidR="00CE394B">
        <w:rPr>
          <w:b/>
          <w:bCs/>
          <w:color w:val="1F4E79"/>
          <w:sz w:val="36"/>
          <w:szCs w:val="36"/>
        </w:rPr>
        <w:t xml:space="preserve"> 2026./2027.</w:t>
      </w:r>
    </w:p>
    <w:p w14:paraId="6F946FB5" w14:textId="77777777" w:rsidR="00CE394B" w:rsidRDefault="00CE394B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500"/>
        <w:gridCol w:w="5306"/>
      </w:tblGrid>
      <w:tr w:rsidR="00121E9B" w14:paraId="1089A4DD" w14:textId="77777777">
        <w:trPr>
          <w:cantSplit/>
          <w:tblHeader/>
        </w:trPr>
        <w:tc>
          <w:tcPr>
            <w:tcW w:w="21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3DD08E" w14:textId="77777777" w:rsidR="00121E9B" w:rsidRDefault="00AD40B5">
            <w:r>
              <w:rPr>
                <w:b/>
                <w:bCs/>
                <w:color w:val="FFFFFF"/>
                <w:spacing w:val="20"/>
              </w:rPr>
              <w:t>MENTOR</w:t>
            </w:r>
          </w:p>
        </w:tc>
        <w:tc>
          <w:tcPr>
            <w:tcW w:w="25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768EE2" w14:textId="77777777" w:rsidR="00121E9B" w:rsidRDefault="00AD40B5">
            <w:r>
              <w:rPr>
                <w:b/>
                <w:bCs/>
                <w:color w:val="FFFFFF"/>
                <w:spacing w:val="20"/>
              </w:rPr>
              <w:t>KOLEGIJ</w:t>
            </w:r>
          </w:p>
        </w:tc>
        <w:tc>
          <w:tcPr>
            <w:tcW w:w="530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544FE3" w14:textId="77777777" w:rsidR="00121E9B" w:rsidRDefault="00AD40B5">
            <w:r>
              <w:rPr>
                <w:b/>
                <w:bCs/>
                <w:color w:val="FFFFFF"/>
                <w:spacing w:val="20"/>
              </w:rPr>
              <w:t>TEME</w:t>
            </w:r>
          </w:p>
        </w:tc>
      </w:tr>
      <w:tr w:rsidR="00121E9B" w14:paraId="15820FD9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866D42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Bertić</w:t>
            </w:r>
          </w:p>
          <w:p w14:paraId="3F1A2E94" w14:textId="77777777" w:rsidR="00121E9B" w:rsidRDefault="00AD40B5">
            <w:r>
              <w:rPr>
                <w:color w:val="1F4E79"/>
                <w:sz w:val="21"/>
                <w:szCs w:val="21"/>
              </w:rPr>
              <w:t>Želimir</w:t>
            </w:r>
          </w:p>
          <w:p w14:paraId="6A79C70B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3 kolegija · 12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D5E4AF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Javno zdravstvo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B2F8C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Zdravstvena pismenost stanovništva i uloga medicinske sestre u zdravstvenom opismenjavanju.</w:t>
            </w:r>
          </w:p>
          <w:p w14:paraId="30FF812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Socijalna izolacija i usamljenost starijih osoba kao javnozdravstveni problem.</w:t>
            </w:r>
          </w:p>
          <w:p w14:paraId="550B77B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Čimbenici rizika za zdravlje i mogućnosti njihove prevencije.</w:t>
            </w:r>
          </w:p>
          <w:p w14:paraId="33FD3FB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Specifičnosti prehrambenih potreba (u starijoj dobi, kod mladih i drugih skupina).</w:t>
            </w:r>
          </w:p>
        </w:tc>
      </w:tr>
      <w:tr w:rsidR="00121E9B" w14:paraId="50D29F2B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A6AC6F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31E56E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Higijena i epidemiologija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3B954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Higijena ruku u prevenciji infekcija povezanih sa zdravstvenom skrbi – uloga medicinske sestre.</w:t>
            </w:r>
          </w:p>
          <w:p w14:paraId="43D9FF2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Cijepljenje kao mjera prevencije zaraznih bolesti – znanje i stavovi studenata sestrinstva.</w:t>
            </w:r>
          </w:p>
          <w:p w14:paraId="1D1F91C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Epidemiološka obilježja i prevencija šećerne bolesti tipa 2.</w:t>
            </w:r>
          </w:p>
          <w:p w14:paraId="5F295C9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Nacionalni programi ranog otkrivanja raka i uloga medicinske sestre u njihovoj provedbi.</w:t>
            </w:r>
          </w:p>
        </w:tc>
      </w:tr>
      <w:tr w:rsidR="00121E9B" w14:paraId="7D1A10AF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310DF0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F07771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Promocija zdravlja i prevencija bolesti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23204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Dostupnost zdravstvene zaštite u ruralnim sredinama i uloga patronažne službe.</w:t>
            </w:r>
          </w:p>
          <w:p w14:paraId="2D9A827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Zdravstvena pismenost stanovništva i uloga medicinske sestre u zdravstvenom opismenjavanju.</w:t>
            </w:r>
          </w:p>
          <w:p w14:paraId="1B8CB37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Specifičnosti prehrambenih potreba (u starijoj dobi, kod mladih i drugih skupina).</w:t>
            </w:r>
          </w:p>
          <w:p w14:paraId="7FCD2BE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Promicanje mentalnog zdravlja i prevencija stresa.</w:t>
            </w:r>
          </w:p>
        </w:tc>
      </w:tr>
      <w:tr w:rsidR="00121E9B" w14:paraId="6505C894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FF0CC5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Breček</w:t>
            </w:r>
          </w:p>
          <w:p w14:paraId="3299E3DE" w14:textId="77777777" w:rsidR="00121E9B" w:rsidRDefault="00AD40B5">
            <w:r>
              <w:rPr>
                <w:color w:val="1F4E79"/>
                <w:sz w:val="21"/>
                <w:szCs w:val="21"/>
              </w:rPr>
              <w:t>Aleksandra</w:t>
            </w:r>
          </w:p>
          <w:p w14:paraId="54C790B1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3 kolegija · 15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06B65D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Upravljanje stresom u sestrinskoj praksi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8EBC0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Izvori stresa na radnom mjestu medicinskih sestara</w:t>
            </w:r>
          </w:p>
          <w:p w14:paraId="29CFC21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Sindrom sagorijevanja kod medicinskih sestara</w:t>
            </w:r>
          </w:p>
          <w:p w14:paraId="2254CD23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Strategije suočavanja sa stresom kod studenata sestrinstva</w:t>
            </w:r>
          </w:p>
          <w:p w14:paraId="2A4E6BB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Programi za smanjenje stresa (npr. mindfulness) kod zdravstvenih djelatnika</w:t>
            </w:r>
          </w:p>
          <w:p w14:paraId="1D87279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Prijedlog programa prevencije stresa i očuvanja mentalnog zdravlja zaposlenika na bolničkom odjelu</w:t>
            </w:r>
          </w:p>
        </w:tc>
      </w:tr>
      <w:tr w:rsidR="00121E9B" w14:paraId="6BAD0B7E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ECCCFA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806C48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psihijatrijskih bolesnika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C701B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Zdravstvena njega bolesnika s depresijom</w:t>
            </w:r>
          </w:p>
          <w:p w14:paraId="1E99913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Zdravstvena njega osobe ovisne o alkoholu</w:t>
            </w:r>
          </w:p>
          <w:p w14:paraId="0463B1C3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Psihoedukacija bolesnika i obitelji u psihijatriji</w:t>
            </w:r>
          </w:p>
          <w:p w14:paraId="7FA738B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Agresivno ponašanje psihijatrijskih bolesnika prema medicinskim sestrama</w:t>
            </w:r>
          </w:p>
          <w:p w14:paraId="4D37AB2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Zdravstvena njega bolesnika s anksioznim poremećajem</w:t>
            </w:r>
          </w:p>
        </w:tc>
      </w:tr>
      <w:tr w:rsidR="00121E9B" w14:paraId="500233EA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9EE04D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0FC9CF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Upravljanje kvalitetom i ljudskim resursima u zdravstvu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BDC9E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Kultura sigurnosti bolesnika iz perspektive medicinskih sestara</w:t>
            </w:r>
          </w:p>
          <w:p w14:paraId="65F6F27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Zadovoljstvo poslom i namjera napuštanja posla kod medicinskih sestara</w:t>
            </w:r>
          </w:p>
          <w:p w14:paraId="4DBF9EE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Pokazatelji kvalitete zdravstvene njege</w:t>
            </w:r>
          </w:p>
          <w:p w14:paraId="4B3F290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Prijavljivanje neželjenih događaja: stavovi i prepreke</w:t>
            </w:r>
          </w:p>
          <w:p w14:paraId="5115E51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Strategije suočavanja sa stresom kod medicinskih sestara</w:t>
            </w:r>
          </w:p>
        </w:tc>
      </w:tr>
      <w:tr w:rsidR="00121E9B" w14:paraId="2714BF43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8E7750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lastRenderedPageBreak/>
              <w:t>Breček</w:t>
            </w:r>
          </w:p>
          <w:p w14:paraId="17843A11" w14:textId="77777777" w:rsidR="00121E9B" w:rsidRDefault="00AD40B5">
            <w:r>
              <w:rPr>
                <w:color w:val="1F4E79"/>
                <w:sz w:val="21"/>
                <w:szCs w:val="21"/>
              </w:rPr>
              <w:t>Alen</w:t>
            </w:r>
          </w:p>
          <w:p w14:paraId="46B45759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11 kolegija · 60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87BB84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Osnove zdravstvene njege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163A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Uloga medicinske sestre u zadovoljavanju osnovnih ljudskih potreba bolesnika</w:t>
            </w:r>
          </w:p>
          <w:p w14:paraId="32CA1B4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Prevencija dekubitusa u bolesnika smanjene pokretljivosti</w:t>
            </w:r>
          </w:p>
          <w:p w14:paraId="0E85191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Znanje i pridržavanje smjernica za higijenu ruku među zdravstvenim djelatnicima</w:t>
            </w:r>
          </w:p>
          <w:p w14:paraId="23200D8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Zdravstvena njega bolesnika s poremećajem eliminacije</w:t>
            </w:r>
          </w:p>
          <w:p w14:paraId="1FB2BD4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Procjena boli i sestrinske intervencije za ublažavanje boli</w:t>
            </w:r>
          </w:p>
        </w:tc>
      </w:tr>
      <w:tr w:rsidR="00121E9B" w14:paraId="69D2427B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FA3F16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530F59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Proces zdravstvene njege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80B9C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Primjena procesa zdravstvene njege u kliničkoj praksi iz perspektive medicinskih sestara</w:t>
            </w:r>
          </w:p>
          <w:p w14:paraId="3664B99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Teorije i modeli zdravstvene njege kao temelj procesa zdravstvene njege</w:t>
            </w:r>
          </w:p>
          <w:p w14:paraId="5131116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Sestrinske dijagnoze i intervencije u skrbi za kroničnog bolesnika</w:t>
            </w:r>
          </w:p>
          <w:p w14:paraId="627568B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Plan zdravstvene njege bolesnika – prikaz slučaja</w:t>
            </w:r>
          </w:p>
          <w:p w14:paraId="4D3E4B0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Kvaliteta i potpunost sestrinske dokumentacije</w:t>
            </w:r>
          </w:p>
        </w:tc>
      </w:tr>
      <w:tr w:rsidR="00121E9B" w14:paraId="6BF383CB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4D6630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5622CB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Informatika u zdravstvenoj njezi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819A0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Elektronička sestrinska dokumentacija: prednosti i ograničenja</w:t>
            </w:r>
          </w:p>
          <w:p w14:paraId="3BFF58B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Stavovi medicinskih sestara prema bolničkom informacijskom sustavu</w:t>
            </w:r>
          </w:p>
          <w:p w14:paraId="4DFBFBB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Telemedicina i telenjega u praćenju kroničnih bolesnika</w:t>
            </w:r>
          </w:p>
          <w:p w14:paraId="56F55A8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Digitalna zdravstvena pismenost studenata sestrinstva</w:t>
            </w:r>
          </w:p>
          <w:p w14:paraId="1D9EB0D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Zaštita podataka i informacijska sigurnost u sestrinskoj praksi</w:t>
            </w:r>
          </w:p>
        </w:tc>
      </w:tr>
      <w:tr w:rsidR="00121E9B" w14:paraId="06FFD052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13F276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49927A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Organizacija, upravljanje i administracija u zdravstvenoj njezi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524A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Stilovi vođenja glavnih medicinskih sestara i zadovoljstvo poslom zaposlenika</w:t>
            </w:r>
          </w:p>
          <w:p w14:paraId="3BDC7F8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Kategorizacija bolesnika i planiranje potrebnog broja medicinskih sestara</w:t>
            </w:r>
          </w:p>
          <w:p w14:paraId="1514210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Primopredaja službe i strukturirana komunikacija (SBAR)</w:t>
            </w:r>
          </w:p>
          <w:p w14:paraId="4042CC2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Fluktuacija medicinskih sestara: uzroci i strategije zadržavanja</w:t>
            </w:r>
          </w:p>
          <w:p w14:paraId="5D9DBA4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Rad u smjenama i organizacija radnog vremena medicinskih sestara</w:t>
            </w:r>
          </w:p>
        </w:tc>
      </w:tr>
      <w:tr w:rsidR="00121E9B" w14:paraId="733B3008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E798CE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DDE776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Podrška osobama s invaliditetom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055E6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Stavovi studenata sestrinstva prema osobama s invaliditetom</w:t>
            </w:r>
          </w:p>
          <w:p w14:paraId="72045D2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Uloga medicinske sestre u rehabilitaciji i osamostaljivanju osoba s invaliditetom</w:t>
            </w:r>
          </w:p>
          <w:p w14:paraId="2C768E0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Prepreke u dostupnosti zdravstvene zaštite osobama s invaliditetom</w:t>
            </w:r>
          </w:p>
          <w:p w14:paraId="5B33ECA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Zdravstvena njega osobe s ozljedom kralježnične moždine</w:t>
            </w:r>
          </w:p>
          <w:p w14:paraId="72098B8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Opterećenje obiteljskih njegovatelja osoba s invaliditetom</w:t>
            </w:r>
          </w:p>
        </w:tc>
      </w:tr>
      <w:tr w:rsidR="00121E9B" w14:paraId="2921C390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AE8955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D76769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psihijatrijskih bolesnika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A6DF5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Stigma prema osobama s duševnim smetnjama među studentima sestrinstva</w:t>
            </w:r>
          </w:p>
          <w:p w14:paraId="48D2EF4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Zdravstvena njega bolesnika sa shizofrenijom</w:t>
            </w:r>
          </w:p>
          <w:p w14:paraId="5F32BCD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Primjena mjera prisile u psihijatriji: etički i pravni aspekti</w:t>
            </w:r>
          </w:p>
          <w:p w14:paraId="3882EDC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Terapijska komunikacija medicinske sestre s psihijatrijskim bolesnikom</w:t>
            </w:r>
          </w:p>
          <w:p w14:paraId="11E8C03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Uloga medicinske sestre u prepoznavanju i procjeni rizika od suicida</w:t>
            </w:r>
          </w:p>
        </w:tc>
      </w:tr>
      <w:tr w:rsidR="00121E9B" w14:paraId="471E0EE6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5821CA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14F7E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Hitna stanja u izvanbolničkim uvjetima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76671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Znanje studenata o osnovnim mjerama održavanja života i primjeni AVD-a</w:t>
            </w:r>
          </w:p>
          <w:p w14:paraId="575E2DA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Uloga medicinske sestre u izvanbolničkoj hitnoj medicinskoj službi</w:t>
            </w:r>
          </w:p>
          <w:p w14:paraId="530A5E5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Trijaža u izvanbolničkim uvjetima</w:t>
            </w:r>
          </w:p>
          <w:p w14:paraId="4FD3424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Zbrinjavanje politraumatiziranog bolesnika na terenu</w:t>
            </w:r>
          </w:p>
          <w:p w14:paraId="76A2302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Pristup bolesniku s akutnim koronarnim sindromom u izvanbolničkim uvjetima</w:t>
            </w:r>
          </w:p>
        </w:tc>
      </w:tr>
      <w:tr w:rsidR="00121E9B" w14:paraId="6779C89A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2E7960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F3405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Palijativna zdravstvena njega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F791F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Stavovi studenata sestrinstva prema smrti i skrbi za umiruće</w:t>
            </w:r>
          </w:p>
          <w:p w14:paraId="26A6595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Ublažavanje boli i drugih simptoma u bolesnika koji treba palijativnu skrb</w:t>
            </w:r>
          </w:p>
          <w:p w14:paraId="56BD239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Zdravstvena njega bolesnika u posljednjim danima života</w:t>
            </w:r>
          </w:p>
          <w:p w14:paraId="310AFCF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Podrška obitelji bolesnika koji treba palijativnu skrb i žalovanje</w:t>
            </w:r>
          </w:p>
          <w:p w14:paraId="0D96A66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Organizacija palijativne skrbi u Republici Hrvatskoj</w:t>
            </w:r>
          </w:p>
        </w:tc>
      </w:tr>
      <w:tr w:rsidR="00121E9B" w14:paraId="2658F462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11B554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663B3F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utemeljena na dokazima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FBB0A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Stavovi i prepreke primjeni prakse utemeljene na dokazima kod medicinskih sestara</w:t>
            </w:r>
          </w:p>
          <w:p w14:paraId="3EB515E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Hijerarhija dokaza i kritička procjena stručne literature</w:t>
            </w:r>
          </w:p>
          <w:p w14:paraId="4415A52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Od kliničkog pitanja (PICO) do primjene dokaza u praksi</w:t>
            </w:r>
          </w:p>
          <w:p w14:paraId="0D6D43B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Utjecaj prakse utemeljene na dokazima na ishode skrbi za bolesnike</w:t>
            </w:r>
          </w:p>
          <w:p w14:paraId="33CAF9E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Primjena kliničkih smjernica u sestrinskoj praksi</w:t>
            </w:r>
          </w:p>
          <w:p w14:paraId="0CE1DE8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6.</w:t>
            </w:r>
            <w:r>
              <w:rPr>
                <w:color w:val="262626"/>
                <w:sz w:val="19"/>
                <w:szCs w:val="19"/>
              </w:rPr>
              <w:tab/>
              <w:t>Spremnost medicinskih sestara za praksu utemeljenu na dokazima i čimbenici koji na nju utječu</w:t>
            </w:r>
          </w:p>
          <w:p w14:paraId="502278B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7.</w:t>
            </w:r>
            <w:r>
              <w:rPr>
                <w:color w:val="262626"/>
                <w:sz w:val="19"/>
                <w:szCs w:val="19"/>
              </w:rPr>
              <w:tab/>
              <w:t>Modeli i okviri implementacije dokaza u kliničku praksu</w:t>
            </w:r>
          </w:p>
          <w:p w14:paraId="557E13F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8.</w:t>
            </w:r>
            <w:r>
              <w:rPr>
                <w:color w:val="262626"/>
                <w:sz w:val="19"/>
                <w:szCs w:val="19"/>
              </w:rPr>
              <w:tab/>
              <w:t>Organizacijska kultura i podrška praksi utemeljenoj na dokazima u zdravstvenim ustanovama</w:t>
            </w:r>
          </w:p>
          <w:p w14:paraId="60D0E4D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9.</w:t>
            </w:r>
            <w:r>
              <w:rPr>
                <w:color w:val="262626"/>
                <w:sz w:val="19"/>
                <w:szCs w:val="19"/>
              </w:rPr>
              <w:tab/>
              <w:t>Uloga magistre sestrinstva u istraživanju i prijenosu znanja u praksu</w:t>
            </w:r>
          </w:p>
          <w:p w14:paraId="48E8CEF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10.</w:t>
            </w:r>
            <w:r>
              <w:rPr>
                <w:color w:val="262626"/>
                <w:sz w:val="19"/>
                <w:szCs w:val="19"/>
              </w:rPr>
              <w:tab/>
              <w:t>Učinkovitost odabrane sestrinske intervencije – sustavni pregled literature</w:t>
            </w:r>
          </w:p>
        </w:tc>
      </w:tr>
      <w:tr w:rsidR="00121E9B" w14:paraId="3F43C442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429D8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E61FEE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Skrb o bolesniku s akutnom ranom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63CCD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Znanje medicinskih sestara o suvremenom zbrinjavanju akutnih rana</w:t>
            </w:r>
          </w:p>
          <w:p w14:paraId="6FB65D1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Sestrinske intervencije u prevenciji infekcije kirurške rane</w:t>
            </w:r>
          </w:p>
          <w:p w14:paraId="421D7D3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Suvremene obloge u liječenju akutnih rana</w:t>
            </w:r>
          </w:p>
          <w:p w14:paraId="005A773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Procjena i dokumentiranje rane u kliničkoj praksi</w:t>
            </w:r>
          </w:p>
          <w:p w14:paraId="299B20B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Utjecaj prehrane na cijeljenje akutne rane</w:t>
            </w:r>
          </w:p>
        </w:tc>
      </w:tr>
      <w:tr w:rsidR="00121E9B" w14:paraId="58915466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CCF8C9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71049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Palijativna skrb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C92EC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Kompetencije i edukacijske potrebe medicinskih sestara u palijativnoj skrbi</w:t>
            </w:r>
          </w:p>
          <w:p w14:paraId="7E155F8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Kvaliteta života bolesnika koji trebaju palijativnu skrb i njihovih obitelji</w:t>
            </w:r>
          </w:p>
          <w:p w14:paraId="14FF0EA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Komunikacija i donošenje odluka na kraju života</w:t>
            </w:r>
          </w:p>
          <w:p w14:paraId="17E19DC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Moralni distres medicinskih sestara u skrbi za umiruće bolesnike</w:t>
            </w:r>
          </w:p>
          <w:p w14:paraId="456F440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Mobilni palijativni timovi i palijativna skrb u zajednici</w:t>
            </w:r>
          </w:p>
        </w:tc>
      </w:tr>
      <w:tr w:rsidR="00121E9B" w14:paraId="091BDEEE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5FAC10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Cepetić</w:t>
            </w:r>
          </w:p>
          <w:p w14:paraId="2358C7F1" w14:textId="77777777" w:rsidR="00121E9B" w:rsidRDefault="00AD40B5">
            <w:r>
              <w:rPr>
                <w:color w:val="1F4E79"/>
                <w:sz w:val="21"/>
                <w:szCs w:val="21"/>
              </w:rPr>
              <w:t>Mirela</w:t>
            </w:r>
          </w:p>
          <w:p w14:paraId="1FFB3222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5 kolegija · 21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BF0411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Osnove zdravstvene njege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0BBF1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Prevencija padova hospitaliziranih bolesnika: procjena rizika i sestrinske intervencije</w:t>
            </w:r>
          </w:p>
          <w:p w14:paraId="5EAFAB8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Zadovoljavanje potrebe za snom i odmorom bolesnika u bolničkim uvjetima</w:t>
            </w:r>
          </w:p>
          <w:p w14:paraId="1455464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Njega usne šupljine u nepokretnih i teško bolesnih bolesnika</w:t>
            </w:r>
          </w:p>
          <w:p w14:paraId="26759D2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Prevencija komplikacija dugotrajnog ležanja</w:t>
            </w:r>
          </w:p>
        </w:tc>
      </w:tr>
      <w:tr w:rsidR="00121E9B" w14:paraId="0266CEFC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44158C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FB6179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Proces zdravstvene njege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D7089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Kritičko razmišljanje studenata sestrinstva u primjeni procesa zdravstvene njege</w:t>
            </w:r>
          </w:p>
          <w:p w14:paraId="41726EF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Primjena standardiziranih klasifikacija u sestrinskoj praksi</w:t>
            </w:r>
          </w:p>
          <w:p w14:paraId="5E16C95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Uloga standardiziranih skala procjene u utvrđivanju potreba za zdravstvenom njegom</w:t>
            </w:r>
          </w:p>
          <w:p w14:paraId="2B37453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Uključivanje bolesnika i obitelji u planiranje zdravstvene njege</w:t>
            </w:r>
          </w:p>
        </w:tc>
      </w:tr>
      <w:tr w:rsidR="00121E9B" w14:paraId="5176B41D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1F4D06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AB0DA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kirurških bolesnika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F8B9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Prijeoperacijska edukacija bolesnika i njezin utjecaj na prijeoperacijsku anksioznost</w:t>
            </w:r>
          </w:p>
          <w:p w14:paraId="435AE50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Primjena WHO kontrolne liste za sigurnost u kirurgiji: stavovi i pridržavanje</w:t>
            </w:r>
          </w:p>
          <w:p w14:paraId="1110970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Prepoznavanje i prevencija postoperativnog delirija u starijih kirurških bolesnika</w:t>
            </w:r>
          </w:p>
          <w:p w14:paraId="447ED9C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Priprema kirurškog bolesnika za otpust i kontinuitet skrbi nakon hospitalizacije</w:t>
            </w:r>
          </w:p>
        </w:tc>
      </w:tr>
      <w:tr w:rsidR="00121E9B" w14:paraId="144BB527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E8952D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AFB49D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Skrb orijentirana na pacijenta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B0E00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Zajedničko donošenje odluka između bolesnika i zdravstvenog tima u sestrinskoj praksi</w:t>
            </w:r>
          </w:p>
          <w:p w14:paraId="618E283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Terapijska komunikacija kao temelj skrbi usmjerene na pacijenta</w:t>
            </w:r>
          </w:p>
          <w:p w14:paraId="25AA3D2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Uključivanje obitelji u skrb za hospitaliziranog bolesnika</w:t>
            </w:r>
          </w:p>
          <w:p w14:paraId="0EF97D6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Poštivanje kulturnih i vjerskih različitosti pacijenata u zdravstvenoj njezi</w:t>
            </w:r>
          </w:p>
        </w:tc>
      </w:tr>
      <w:tr w:rsidR="00121E9B" w14:paraId="65D04EDD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715483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C3FA0A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starijih osoba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5BF9F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Procjena krhkosti starijih osoba: uloga medicinske sestre</w:t>
            </w:r>
          </w:p>
          <w:p w14:paraId="3190881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Probir i prevencija pothranjenosti u korisnika domova za starije osobe</w:t>
            </w:r>
          </w:p>
          <w:p w14:paraId="10C29A2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Zdravstvena njega osoba s demencijom tijekom hospitalizacije</w:t>
            </w:r>
          </w:p>
          <w:p w14:paraId="14A086F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Kvaliteta života korisnika domova za starije osobe</w:t>
            </w:r>
          </w:p>
          <w:p w14:paraId="6D656493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Zlostavljanje i zanemarivanje starijih osoba: prepoznavanje i uloga medicinske sestre</w:t>
            </w:r>
          </w:p>
        </w:tc>
      </w:tr>
      <w:tr w:rsidR="00121E9B" w14:paraId="65ECCE48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6E710B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Čendak Božunović</w:t>
            </w:r>
          </w:p>
          <w:p w14:paraId="3EF37708" w14:textId="77777777" w:rsidR="00121E9B" w:rsidRDefault="00AD40B5">
            <w:r>
              <w:rPr>
                <w:color w:val="1F4E79"/>
                <w:sz w:val="21"/>
                <w:szCs w:val="21"/>
              </w:rPr>
              <w:t>Linda</w:t>
            </w:r>
          </w:p>
          <w:p w14:paraId="1D2A450D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8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A7C0B6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Suvremeni principi zbrinjavanja rane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9900C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Socijalna ranjivost bolesnika s kroničnom ranom kao čimbenik uspješnosti liječenja</w:t>
            </w:r>
          </w:p>
          <w:p w14:paraId="0FBF931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Povezanost zdravstvene pismenosti, samoučinkovitosti i adherencije bolesnika s kroničnom venskom bolešću</w:t>
            </w:r>
          </w:p>
          <w:p w14:paraId="437B513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Teret liječenja kronične vaskularne rane iz perspektive bolesnika</w:t>
            </w:r>
          </w:p>
          <w:p w14:paraId="6CE7A61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Funkcionalni ishodi kao pokazatelj uspješnosti liječenja bolesnika s kroničnom ranom</w:t>
            </w:r>
          </w:p>
          <w:p w14:paraId="0DDB848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Klinička inercija u zbrinjavanju kroničnih rana – čimbenici povezani s nastavkom neučinkovite terapije</w:t>
            </w:r>
          </w:p>
          <w:p w14:paraId="3978875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6.</w:t>
            </w:r>
            <w:r>
              <w:rPr>
                <w:color w:val="262626"/>
                <w:sz w:val="19"/>
                <w:szCs w:val="19"/>
              </w:rPr>
              <w:tab/>
              <w:t>Čimbenici povezani s odgođenim postavljanjem etiološke dijagnoze kroničnih rana donjih ekstremiteta</w:t>
            </w:r>
          </w:p>
          <w:p w14:paraId="5FEDBD7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7.</w:t>
            </w:r>
            <w:r>
              <w:rPr>
                <w:color w:val="262626"/>
                <w:sz w:val="19"/>
                <w:szCs w:val="19"/>
              </w:rPr>
              <w:tab/>
              <w:t>Kontinuitet skrbi nakon cijeljenja venskog ulkusa i čimbenici povezani s njegovom ponovnom pojavom</w:t>
            </w:r>
          </w:p>
          <w:p w14:paraId="3E8A97C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8.</w:t>
            </w:r>
            <w:r>
              <w:rPr>
                <w:color w:val="262626"/>
                <w:sz w:val="19"/>
                <w:szCs w:val="19"/>
              </w:rPr>
              <w:tab/>
              <w:t>Mogućnosti standardiziranog praćenja ishoda liječenja kroničnih rana primjenom registra rana</w:t>
            </w:r>
          </w:p>
        </w:tc>
      </w:tr>
      <w:tr w:rsidR="00121E9B" w14:paraId="6F4AE409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B29412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Kundrata</w:t>
            </w:r>
          </w:p>
          <w:p w14:paraId="05E7504F" w14:textId="77777777" w:rsidR="00121E9B" w:rsidRDefault="00AD40B5">
            <w:r>
              <w:rPr>
                <w:color w:val="1F4E79"/>
                <w:sz w:val="21"/>
                <w:szCs w:val="21"/>
              </w:rPr>
              <w:t>Danijela</w:t>
            </w:r>
          </w:p>
          <w:p w14:paraId="16008B0B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5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E2DC25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osoba s posebnim potrebama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24454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Zdravstvene potrebe učenika s kroničnim bolestima i teškoćama u razvoju u osnovnoj školi – izazovi uključivanja i podrške</w:t>
            </w:r>
          </w:p>
          <w:p w14:paraId="51831D8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Interdisciplinarni pristup zdravstvenim i obrazovnim potrebama učenika s teškoćama u razvoju u osnovnoj školi</w:t>
            </w:r>
          </w:p>
          <w:p w14:paraId="2E10580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Rana identifikacija i podrška učenicima s disleksijom, disgrafijom i diskalkulijom – međunarodne smjernice i školske prakse</w:t>
            </w:r>
          </w:p>
          <w:p w14:paraId="440EB14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Pristupačnost zdravstvene skrbi osobama s intelektualnim teškoćama – komunikacijski izazovi i sestrinske intervencije</w:t>
            </w:r>
          </w:p>
          <w:p w14:paraId="02B4DB3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Prilagodba sestrinske komunikacije i postupaka osobama s poremećajem iz spektra autizma u zdravstvenoj ustanovi</w:t>
            </w:r>
          </w:p>
        </w:tc>
      </w:tr>
      <w:tr w:rsidR="00121E9B" w14:paraId="0DA65218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1B0E4E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lastRenderedPageBreak/>
              <w:t>Kurtović</w:t>
            </w:r>
          </w:p>
          <w:p w14:paraId="5400996E" w14:textId="77777777" w:rsidR="00121E9B" w:rsidRDefault="00AD40B5">
            <w:r>
              <w:rPr>
                <w:color w:val="1F4E79"/>
                <w:sz w:val="21"/>
                <w:szCs w:val="21"/>
              </w:rPr>
              <w:t>Josipa</w:t>
            </w:r>
          </w:p>
          <w:p w14:paraId="360AFBA9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9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654F0B" w14:textId="77777777" w:rsidR="00121E9B" w:rsidRDefault="00AD40B5">
            <w:r>
              <w:rPr>
                <w:i/>
                <w:iCs/>
                <w:color w:val="8A8A8A"/>
                <w:sz w:val="18"/>
                <w:szCs w:val="18"/>
              </w:rPr>
              <w:t>— kolegij nije naveden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96523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Stavovi studenata sestrinstva prema osobama s intelektualnim teškoćama i inkluziji u zdravstvenom sustavu</w:t>
            </w:r>
          </w:p>
          <w:p w14:paraId="74DD773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Stavovi zdravstvenih djelatnika prema ranjivim skupinama pacijenata u zdravstvenom sustavu</w:t>
            </w:r>
          </w:p>
          <w:p w14:paraId="6F33C52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Zdravstvena njega osoba s autizmom - izazovi u komunikaciji i prilagodbi okruženja.</w:t>
            </w:r>
          </w:p>
          <w:p w14:paraId="301F8EB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Stigmatizacija i društvena percepcija osoba s mentalnim poteškoćama - uloga zdravstvenih djelatnika u destigmatizaciji</w:t>
            </w:r>
          </w:p>
          <w:p w14:paraId="45B1B2D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Sestrinska skrb osoba s Down sindromom - promicanje samostalnosti i kvalitete života</w:t>
            </w:r>
          </w:p>
          <w:p w14:paraId="4D2748E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6.</w:t>
            </w:r>
            <w:r>
              <w:rPr>
                <w:color w:val="262626"/>
                <w:sz w:val="19"/>
                <w:szCs w:val="19"/>
              </w:rPr>
              <w:tab/>
              <w:t>Zdravstvena njega osoba s multiplom sklerozom</w:t>
            </w:r>
          </w:p>
          <w:p w14:paraId="7723F15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7.</w:t>
            </w:r>
            <w:r>
              <w:rPr>
                <w:color w:val="262626"/>
                <w:sz w:val="19"/>
                <w:szCs w:val="19"/>
              </w:rPr>
              <w:tab/>
              <w:t>Holistički pristup u zdravstvenoj njezi osoba s višestrukim oštećenjima</w:t>
            </w:r>
          </w:p>
          <w:p w14:paraId="38EDD43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8.</w:t>
            </w:r>
            <w:r>
              <w:rPr>
                <w:color w:val="262626"/>
                <w:sz w:val="19"/>
                <w:szCs w:val="19"/>
              </w:rPr>
              <w:tab/>
              <w:t>Kvaliteta života osoba s posebnim potrebama - uloga zdravstvenog sustava i zajednice</w:t>
            </w:r>
          </w:p>
          <w:p w14:paraId="16F344E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9.</w:t>
            </w:r>
            <w:r>
              <w:rPr>
                <w:color w:val="262626"/>
                <w:sz w:val="19"/>
                <w:szCs w:val="19"/>
              </w:rPr>
              <w:tab/>
              <w:t>Primjena mobilnih aplikacija i pametne tehnologije u zdravstvenoj njezi osoba s invaliditetom</w:t>
            </w:r>
          </w:p>
        </w:tc>
      </w:tr>
      <w:tr w:rsidR="00121E9B" w14:paraId="1DBAED64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2875EC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Kušec</w:t>
            </w:r>
          </w:p>
          <w:p w14:paraId="7D40E501" w14:textId="77777777" w:rsidR="00121E9B" w:rsidRDefault="00AD40B5">
            <w:r>
              <w:rPr>
                <w:color w:val="1F4E79"/>
                <w:sz w:val="21"/>
                <w:szCs w:val="21"/>
              </w:rPr>
              <w:t>Manuela</w:t>
            </w:r>
          </w:p>
          <w:p w14:paraId="3D9E4462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2 kolegija · 8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24887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Biokemija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955696" w14:textId="04C63F34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 xml:space="preserve">Biokemijski pokazatelji regulacije šećerne bolesti </w:t>
            </w:r>
          </w:p>
          <w:p w14:paraId="59276F90" w14:textId="447370CD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 xml:space="preserve">Poremećaji ravnoteže elektrolita u starijih osoba – biokemijska podloga </w:t>
            </w:r>
          </w:p>
          <w:p w14:paraId="58EFD48F" w14:textId="20621C35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 xml:space="preserve">Biokemijski pokazatelji u dijagnostici i praćenju anemije </w:t>
            </w:r>
          </w:p>
          <w:p w14:paraId="03BA50D0" w14:textId="7F495E2C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 xml:space="preserve">Utjecaj predanalitičkih čimbenika na pouzdanost biokemijskih nalaza </w:t>
            </w:r>
          </w:p>
        </w:tc>
      </w:tr>
      <w:tr w:rsidR="00121E9B" w14:paraId="25B102FF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31E727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7D842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Osnove istraživanja u sestrinstvu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42D25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Znanje i stavovi studenata sestrinstva o primjeni prakse utemeljene na dokazima</w:t>
            </w:r>
          </w:p>
          <w:p w14:paraId="608BF9B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Informacijska pismenost studenata sestrinstva pri pretraživanju znanstvene i stručne literature</w:t>
            </w:r>
          </w:p>
          <w:p w14:paraId="74F8D95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Poznavanje etičkih načela istraživanja među studentima sestrinstva</w:t>
            </w:r>
          </w:p>
          <w:p w14:paraId="09B5FCD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Povezanost iskustva sudjelovanja u istraživanjima i stavova studenata sestrinstva prema istraživačkom radu</w:t>
            </w:r>
          </w:p>
        </w:tc>
      </w:tr>
      <w:tr w:rsidR="00121E9B" w14:paraId="237F64AC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A81AD7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Kužnik</w:t>
            </w:r>
          </w:p>
          <w:p w14:paraId="0C1A85D2" w14:textId="77777777" w:rsidR="00121E9B" w:rsidRDefault="00AD40B5">
            <w:r>
              <w:rPr>
                <w:color w:val="1F4E79"/>
                <w:sz w:val="21"/>
                <w:szCs w:val="21"/>
              </w:rPr>
              <w:t>Kristina</w:t>
            </w:r>
          </w:p>
          <w:p w14:paraId="708C895A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10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7E2726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majke (i novorođenčeta)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0B48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Zdravstvena zaštita žena- sestrinska skrb</w:t>
            </w:r>
          </w:p>
          <w:p w14:paraId="7A0B2D3B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Problem neplodnosti- intervencije ms</w:t>
            </w:r>
          </w:p>
          <w:p w14:paraId="19D3307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Maloljetna trudnoća- sestrinska skrb</w:t>
            </w:r>
          </w:p>
          <w:p w14:paraId="55F7EF3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Zdravstvena njega žena u postporođajnoj depresiji</w:t>
            </w:r>
          </w:p>
          <w:p w14:paraId="23A11FF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Zdravstvena njega zlostavljanje trudnice</w:t>
            </w:r>
          </w:p>
          <w:p w14:paraId="7753504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6.</w:t>
            </w:r>
            <w:r>
              <w:rPr>
                <w:color w:val="262626"/>
                <w:sz w:val="19"/>
                <w:szCs w:val="19"/>
              </w:rPr>
              <w:tab/>
              <w:t>Sestrinska skrb i intervencije u trudnoći</w:t>
            </w:r>
          </w:p>
          <w:p w14:paraId="523B3A3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7.</w:t>
            </w:r>
            <w:r>
              <w:rPr>
                <w:color w:val="262626"/>
                <w:sz w:val="19"/>
                <w:szCs w:val="19"/>
              </w:rPr>
              <w:tab/>
              <w:t>Sestrinska skrb i intervencije u porodu i njega babinjače</w:t>
            </w:r>
          </w:p>
          <w:p w14:paraId="4536019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8.</w:t>
            </w:r>
            <w:r>
              <w:rPr>
                <w:color w:val="262626"/>
                <w:sz w:val="19"/>
                <w:szCs w:val="19"/>
              </w:rPr>
              <w:tab/>
              <w:t>Sestrinska skrb i zbrinjavanje zdravog novorođenčeta</w:t>
            </w:r>
          </w:p>
          <w:p w14:paraId="43E8BA8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9.</w:t>
            </w:r>
            <w:r>
              <w:rPr>
                <w:color w:val="262626"/>
                <w:sz w:val="19"/>
                <w:szCs w:val="19"/>
              </w:rPr>
              <w:tab/>
              <w:t>Sestrinska skrb i zbrinjavanje ugroženog novorođenčeta</w:t>
            </w:r>
          </w:p>
          <w:p w14:paraId="5247B1D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10.</w:t>
            </w:r>
            <w:r>
              <w:rPr>
                <w:color w:val="262626"/>
                <w:sz w:val="19"/>
                <w:szCs w:val="19"/>
              </w:rPr>
              <w:tab/>
              <w:t>Sestrinska skrb i zbrinjavanje nedonoščeta.</w:t>
            </w:r>
          </w:p>
        </w:tc>
      </w:tr>
      <w:tr w:rsidR="00121E9B" w14:paraId="7D255972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45D7D9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lastRenderedPageBreak/>
              <w:t>Lendarić</w:t>
            </w:r>
          </w:p>
          <w:p w14:paraId="377696F8" w14:textId="77777777" w:rsidR="00121E9B" w:rsidRDefault="00AD40B5">
            <w:r>
              <w:rPr>
                <w:color w:val="1F4E79"/>
                <w:sz w:val="21"/>
                <w:szCs w:val="21"/>
              </w:rPr>
              <w:t>Ivanka</w:t>
            </w:r>
          </w:p>
          <w:p w14:paraId="5B8A7A97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4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8DCC2B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Specifičnosti zdravstvene njege bolesnika sa stomama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DE7B3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Specifičnosti zdravstvene njege bolesnika s perkutanom endoskopskom gastrostomom (PEG): prevencija komplikacija i edukacija za samozbrinjavanje</w:t>
            </w:r>
          </w:p>
          <w:p w14:paraId="5E2AC96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Zdravstvena njega bolesnika s perkutanom endoskopskom jejunostomom (PEJ): sigurnost enteralne prehrane i prevencija komplikacija</w:t>
            </w:r>
          </w:p>
          <w:p w14:paraId="2A7D19A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Specifičnosti zdravstvene njege bolesnika s ileostomom: prevencija dehidracije, elektrolitskih poremećaja i peristomalnih komplikacija</w:t>
            </w:r>
          </w:p>
          <w:p w14:paraId="1C4E267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Zdravstvena njega i rehabilitacija bolesnika s kolostomom: psihosocijalna prilagodba i kvaliteta života</w:t>
            </w:r>
          </w:p>
        </w:tc>
      </w:tr>
      <w:tr w:rsidR="00121E9B" w14:paraId="3FF0C604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E5648D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Magdić-Turković</w:t>
            </w:r>
          </w:p>
          <w:p w14:paraId="274F2BB3" w14:textId="77777777" w:rsidR="00121E9B" w:rsidRDefault="00AD40B5">
            <w:r>
              <w:rPr>
                <w:color w:val="1F4E79"/>
                <w:sz w:val="21"/>
                <w:szCs w:val="21"/>
              </w:rPr>
              <w:t>Tihana</w:t>
            </w:r>
          </w:p>
          <w:p w14:paraId="234C2787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4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95340B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Anesteziologija, reanimatologija i intenzivno liječenje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FA673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Znanje i stavovi studenata sestrinstva o procjeni boli</w:t>
            </w:r>
          </w:p>
          <w:p w14:paraId="5256349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Učinak simulacijske edukacije na vještine strukturirane predaje informacija primjenom SBAR-a</w:t>
            </w:r>
          </w:p>
          <w:p w14:paraId="502C8AF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Znanje studenata sestrinstva o sigurnoj primjeni lijekova</w:t>
            </w:r>
          </w:p>
          <w:p w14:paraId="57DC77E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Trajanje prijeoperacijskog gladovanja u kliničkoj praksi i njegova povezanost s prijeoperacijskom nelagodom u bolesnika prije operativnih zahvata</w:t>
            </w:r>
          </w:p>
        </w:tc>
      </w:tr>
      <w:tr w:rsidR="00121E9B" w14:paraId="45A2306C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E94CEA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Mamut</w:t>
            </w:r>
          </w:p>
          <w:p w14:paraId="1B386F19" w14:textId="77777777" w:rsidR="00121E9B" w:rsidRDefault="00AD40B5">
            <w:r>
              <w:rPr>
                <w:color w:val="1F4E79"/>
                <w:sz w:val="21"/>
                <w:szCs w:val="21"/>
              </w:rPr>
              <w:t>Melani</w:t>
            </w:r>
          </w:p>
          <w:p w14:paraId="5F0ACD80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4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7A82EA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Engleski jezik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FD1590" w14:textId="77777777" w:rsidR="00121E9B" w:rsidRDefault="00AD40B5">
            <w:pPr>
              <w:tabs>
                <w:tab w:val="left" w:pos="340"/>
              </w:tabs>
              <w:spacing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Jezične barijere u komunikaciji medicinske sestre i stranog pacijenta</w:t>
            </w:r>
          </w:p>
          <w:p w14:paraId="023104E4" w14:textId="77777777" w:rsidR="00121E9B" w:rsidRDefault="00AD40B5">
            <w:pPr>
              <w:spacing w:after="70" w:line="264" w:lineRule="auto"/>
              <w:ind w:left="340"/>
            </w:pPr>
            <w:r>
              <w:rPr>
                <w:i/>
                <w:iCs/>
                <w:color w:val="8A8A8A"/>
                <w:sz w:val="17"/>
                <w:szCs w:val="17"/>
              </w:rPr>
              <w:t>Language barriers in nurse–patient communication with foreign patients</w:t>
            </w:r>
          </w:p>
          <w:p w14:paraId="2D954E8F" w14:textId="77777777" w:rsidR="00121E9B" w:rsidRDefault="00AD40B5">
            <w:pPr>
              <w:tabs>
                <w:tab w:val="left" w:pos="340"/>
              </w:tabs>
              <w:spacing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Engleski jezik i praksa utemeljena na dokazima u sestrinstvu</w:t>
            </w:r>
          </w:p>
          <w:p w14:paraId="53F3927A" w14:textId="77777777" w:rsidR="00121E9B" w:rsidRDefault="00AD40B5">
            <w:pPr>
              <w:spacing w:after="70" w:line="264" w:lineRule="auto"/>
              <w:ind w:left="340"/>
            </w:pPr>
            <w:r>
              <w:rPr>
                <w:i/>
                <w:iCs/>
                <w:color w:val="8A8A8A"/>
                <w:sz w:val="17"/>
                <w:szCs w:val="17"/>
              </w:rPr>
              <w:t>English language proficiency and evidence-based practice in nursing</w:t>
            </w:r>
          </w:p>
          <w:p w14:paraId="42472A96" w14:textId="77777777" w:rsidR="00121E9B" w:rsidRDefault="00AD40B5">
            <w:pPr>
              <w:tabs>
                <w:tab w:val="left" w:pos="340"/>
              </w:tabs>
              <w:spacing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Strukturirana komunikacija (SBAR/ISBAR) i sigurnost pacijenata</w:t>
            </w:r>
          </w:p>
          <w:p w14:paraId="3F399548" w14:textId="77777777" w:rsidR="00121E9B" w:rsidRDefault="00AD40B5">
            <w:pPr>
              <w:spacing w:after="70" w:line="264" w:lineRule="auto"/>
              <w:ind w:left="340"/>
            </w:pPr>
            <w:r>
              <w:rPr>
                <w:i/>
                <w:iCs/>
                <w:color w:val="8A8A8A"/>
                <w:sz w:val="17"/>
                <w:szCs w:val="17"/>
              </w:rPr>
              <w:t>Structured communication tools (SBAR/ISBAR) and patient safety in nursing handover</w:t>
            </w:r>
          </w:p>
          <w:p w14:paraId="1F20CE5D" w14:textId="77777777" w:rsidR="00121E9B" w:rsidRDefault="00AD40B5">
            <w:pPr>
              <w:tabs>
                <w:tab w:val="left" w:pos="340"/>
              </w:tabs>
              <w:spacing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Digitalni prevoditelji i umjetna inteligencija u komunikaciji sa stranim pacijentima</w:t>
            </w:r>
          </w:p>
          <w:p w14:paraId="48998C25" w14:textId="77777777" w:rsidR="00121E9B" w:rsidRDefault="00AD40B5">
            <w:pPr>
              <w:spacing w:after="70" w:line="264" w:lineRule="auto"/>
              <w:ind w:left="340"/>
            </w:pPr>
            <w:r>
              <w:rPr>
                <w:i/>
                <w:iCs/>
                <w:color w:val="8A8A8A"/>
                <w:sz w:val="17"/>
                <w:szCs w:val="17"/>
              </w:rPr>
              <w:t>Digital translation tools and AI in nurse–patient communication: benefits and risks</w:t>
            </w:r>
          </w:p>
        </w:tc>
      </w:tr>
      <w:tr w:rsidR="00121E9B" w14:paraId="158A35A0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121DDC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Mrkonjić</w:t>
            </w:r>
          </w:p>
          <w:p w14:paraId="5C10396B" w14:textId="77777777" w:rsidR="00121E9B" w:rsidRDefault="00AD40B5">
            <w:r>
              <w:rPr>
                <w:color w:val="1F4E79"/>
                <w:sz w:val="21"/>
                <w:szCs w:val="21"/>
              </w:rPr>
              <w:t>Ružica</w:t>
            </w:r>
          </w:p>
          <w:p w14:paraId="7577960F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2 kolegija · 8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C4B5A3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bolesnika sa zatajenjem srca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78EF2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Priprema bolesnika za transplantaciju srca</w:t>
            </w:r>
          </w:p>
          <w:p w14:paraId="5A7C7DB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Zdravstvena njega bolesnika nakon transplantacije srca</w:t>
            </w:r>
          </w:p>
          <w:p w14:paraId="74EEE22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Edukacija bolesnika nakon transplantacije srca o imunosupresivnoj terapiji</w:t>
            </w:r>
          </w:p>
          <w:p w14:paraId="0B67508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Uloga medicinske sestre u prepoznavanju komplikacija nakon transplantacije srca</w:t>
            </w:r>
          </w:p>
        </w:tc>
      </w:tr>
      <w:tr w:rsidR="00121E9B" w14:paraId="61158969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37ED06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8CFE55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Temeljni postupci u liječenju boli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05E62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Uloga medicinske sestre u skrbi za bolesnika s kroničnom boli</w:t>
            </w:r>
          </w:p>
          <w:p w14:paraId="5F5B803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Procjena i liječenje poslijeoperacijske boli</w:t>
            </w:r>
          </w:p>
          <w:p w14:paraId="5452CF9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Regionalna analgezija u liječenju poslijeoperacijske boli</w:t>
            </w:r>
          </w:p>
          <w:p w14:paraId="07F1C4BF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Nefarmakološki postupci u ublažavanju boli</w:t>
            </w:r>
          </w:p>
        </w:tc>
      </w:tr>
      <w:tr w:rsidR="00121E9B" w14:paraId="00F65CB2" w14:textId="77777777">
        <w:trPr>
          <w:cantSplit/>
        </w:trPr>
        <w:tc>
          <w:tcPr>
            <w:tcW w:w="21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CCAA09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lastRenderedPageBreak/>
              <w:t>Puljiz</w:t>
            </w:r>
          </w:p>
          <w:p w14:paraId="50A3D3FD" w14:textId="77777777" w:rsidR="00121E9B" w:rsidRDefault="00AD40B5">
            <w:r>
              <w:rPr>
                <w:color w:val="1F4E79"/>
                <w:sz w:val="21"/>
                <w:szCs w:val="21"/>
              </w:rPr>
              <w:t>Zvonimir</w:t>
            </w:r>
          </w:p>
          <w:p w14:paraId="38087E02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1 kolegij · 4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6D830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Kirurgija, traumatologija i ortopedija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306B8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Rane postoperativne komplikacije u kirurških bolesnika</w:t>
            </w:r>
          </w:p>
          <w:p w14:paraId="4D99D576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Suvremeni pristupi liječenju kroničnih i kompleksnih kirurških rana primjenom terapije negativnim tlakom (NPWT/VAC)</w:t>
            </w:r>
          </w:p>
          <w:p w14:paraId="219EEB4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Suvremeni pristupi kirurškom liječenju malignog melanoma kože</w:t>
            </w:r>
          </w:p>
          <w:p w14:paraId="68B4F3B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Uloga edukacije u oporavku bolesnica nakon kirurškog liječenja karcinoma dojke</w:t>
            </w:r>
          </w:p>
        </w:tc>
      </w:tr>
      <w:tr w:rsidR="00121E9B" w14:paraId="36460244" w14:textId="77777777">
        <w:trPr>
          <w:cantSplit/>
        </w:trPr>
        <w:tc>
          <w:tcPr>
            <w:tcW w:w="2100" w:type="dxa"/>
            <w:vMerge w:val="restart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4EC866" w14:textId="77777777" w:rsidR="00121E9B" w:rsidRDefault="00AD40B5">
            <w:r>
              <w:rPr>
                <w:b/>
                <w:bCs/>
                <w:color w:val="1F4E79"/>
                <w:sz w:val="21"/>
                <w:szCs w:val="21"/>
              </w:rPr>
              <w:t>Vitković</w:t>
            </w:r>
          </w:p>
          <w:p w14:paraId="176A9938" w14:textId="77777777" w:rsidR="00121E9B" w:rsidRDefault="00AD40B5">
            <w:r>
              <w:rPr>
                <w:color w:val="1F4E79"/>
                <w:sz w:val="21"/>
                <w:szCs w:val="21"/>
              </w:rPr>
              <w:t>Marina</w:t>
            </w:r>
          </w:p>
          <w:p w14:paraId="6F84C61A" w14:textId="77777777" w:rsidR="00121E9B" w:rsidRDefault="00AD40B5">
            <w:pPr>
              <w:spacing w:before="80"/>
            </w:pPr>
            <w:r>
              <w:rPr>
                <w:color w:val="8A8A8A"/>
                <w:sz w:val="16"/>
                <w:szCs w:val="16"/>
              </w:rPr>
              <w:t>5 kolegija · 21 tema</w:t>
            </w:r>
          </w:p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B0BC53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Timski rad u sestrinstvu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35A953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Kako kvalitetna suradnja zdravstvenih djelatnika utječe na smanjenje pogrešaka i povećanje sigurnosti pacijenta?</w:t>
            </w:r>
          </w:p>
          <w:p w14:paraId="2BADA195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Sukobi unutar zdravstvenog tima i načini njihova rješavanja</w:t>
            </w:r>
          </w:p>
          <w:p w14:paraId="3F1C8F1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Uloga vođe u uspješnom radu sestrinskog tima</w:t>
            </w:r>
          </w:p>
          <w:p w14:paraId="45AA6DE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Uloga multidisciplinarnog tima u stvaranju optimalnih uvjeta za rast i razvoj djece u dječjem vrtiću</w:t>
            </w:r>
          </w:p>
        </w:tc>
      </w:tr>
      <w:tr w:rsidR="00121E9B" w14:paraId="33E3EEEB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1C704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CCB5E7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Zdravstveni odgoj s metodama učenja i poučavanja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6B236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8A8A8A"/>
                <w:sz w:val="19"/>
                <w:szCs w:val="19"/>
              </w:rPr>
              <w:t>1.</w:t>
            </w:r>
            <w:r>
              <w:rPr>
                <w:color w:val="8A8A8A"/>
                <w:sz w:val="19"/>
                <w:szCs w:val="19"/>
              </w:rPr>
              <w:tab/>
              <w:t>Uloga medicinske sestre u zdravstvenom odgoju pacijenta prije i nakon biopsije prostate</w:t>
            </w:r>
            <w:r>
              <w:rPr>
                <w:b/>
                <w:bCs/>
                <w:color w:val="B23B3B"/>
                <w:spacing w:val="10"/>
                <w:sz w:val="14"/>
                <w:szCs w:val="14"/>
              </w:rPr>
              <w:t xml:space="preserve">  ZAUZETA</w:t>
            </w:r>
          </w:p>
          <w:p w14:paraId="393A010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Zdravstveni odgoj Generacije Alpha: najefikasnije metode poučavanja zdravih životnih navika</w:t>
            </w:r>
          </w:p>
          <w:p w14:paraId="0145745C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Učenje kroz igru kao metoda zdravstvenog odgoja djece u usvajanju zdravih životnih navika</w:t>
            </w:r>
          </w:p>
          <w:p w14:paraId="608D9D9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Zdravstveno opismenjavanje roditelja kao temelj promicanja zdravih životnih navika u obitelji – uloga medicinske sestre i suvremene metode poučavanja</w:t>
            </w:r>
          </w:p>
        </w:tc>
      </w:tr>
      <w:tr w:rsidR="00121E9B" w14:paraId="50445D99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5187BC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1136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u zajednici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E1798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Patronažna zdravstvena skrb za starije osobe koje žive same – mogućnosti i izazovi</w:t>
            </w:r>
          </w:p>
          <w:p w14:paraId="0BFF4114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Uloga patronažne sestre u promicanju i podršci dojenja kao temelju zdravlja zajednice</w:t>
            </w:r>
          </w:p>
          <w:p w14:paraId="5A704F5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Mogućnosti zdravstveno – edukativnog djelovanja patronažne sestre u promicanju cijepljenja djece</w:t>
            </w:r>
          </w:p>
          <w:p w14:paraId="21A19E58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Važnost pravilnog zbrinjavanja pupčanog bataljka novorođenčeta u kućnim uvjetima – suvremene smjernice</w:t>
            </w:r>
          </w:p>
        </w:tc>
      </w:tr>
      <w:tr w:rsidR="00121E9B" w14:paraId="77349CBC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C7A94C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B6A5F9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Metode zdravstvenog odgoja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0A016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1.</w:t>
            </w:r>
            <w:r>
              <w:rPr>
                <w:color w:val="262626"/>
                <w:sz w:val="19"/>
                <w:szCs w:val="19"/>
              </w:rPr>
              <w:tab/>
              <w:t>Učinkovitost interaktivnih metoda zdravstvenog odgoja u promicanju zdravih životnih navika adolescenata</w:t>
            </w:r>
          </w:p>
          <w:p w14:paraId="2FE37107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2.</w:t>
            </w:r>
            <w:r>
              <w:rPr>
                <w:color w:val="262626"/>
                <w:sz w:val="19"/>
                <w:szCs w:val="19"/>
              </w:rPr>
              <w:tab/>
              <w:t>Utjecaj edukacije na znanje i pridržavanje mjera higijene ruku među zdravstvenim djelatnicima</w:t>
            </w:r>
          </w:p>
          <w:p w14:paraId="4373F960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3.</w:t>
            </w:r>
            <w:r>
              <w:rPr>
                <w:color w:val="262626"/>
                <w:sz w:val="19"/>
                <w:szCs w:val="19"/>
              </w:rPr>
              <w:tab/>
              <w:t>Digitalni alati u zdravstvenom odgoju: stavovi pacijenata i medicinskih sestara o njihovoj primjeni</w:t>
            </w:r>
          </w:p>
          <w:p w14:paraId="5332BDED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Učinkovitost metoda zdravstvenog odgoja u usvajanju pravilnih higijenskih navika kod djece predškolske dobi</w:t>
            </w:r>
          </w:p>
          <w:p w14:paraId="5CAD1612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5.</w:t>
            </w:r>
            <w:r>
              <w:rPr>
                <w:color w:val="262626"/>
                <w:sz w:val="19"/>
                <w:szCs w:val="19"/>
              </w:rPr>
              <w:tab/>
              <w:t>Stavovi odgojitelja za provođenje zdravstvenog odgoja u dječjim vrtićima od strane medicinskih sestara</w:t>
            </w:r>
          </w:p>
        </w:tc>
      </w:tr>
      <w:tr w:rsidR="00121E9B" w14:paraId="1E238131" w14:textId="77777777">
        <w:trPr>
          <w:cantSplit/>
        </w:trPr>
        <w:tc>
          <w:tcPr>
            <w:tcW w:w="2100" w:type="dxa"/>
            <w:vMerge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EAF1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DBD3A" w14:textId="77777777" w:rsidR="00121E9B" w:rsidRDefault="00121E9B"/>
        </w:tc>
        <w:tc>
          <w:tcPr>
            <w:tcW w:w="2500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012752" w14:textId="77777777" w:rsidR="00121E9B" w:rsidRDefault="00AD40B5">
            <w:r>
              <w:rPr>
                <w:b/>
                <w:bCs/>
                <w:color w:val="262626"/>
                <w:sz w:val="19"/>
                <w:szCs w:val="19"/>
              </w:rPr>
              <w:t>Zdravstvena njega djeteta</w:t>
            </w:r>
          </w:p>
        </w:tc>
        <w:tc>
          <w:tcPr>
            <w:tcW w:w="5306" w:type="dxa"/>
            <w:tcBorders>
              <w:top w:val="single" w:sz="4" w:space="0" w:color="BFCBDA"/>
              <w:left w:val="single" w:sz="4" w:space="0" w:color="BFCBDA"/>
              <w:bottom w:val="single" w:sz="4" w:space="0" w:color="BFCBDA"/>
              <w:right w:val="single" w:sz="4" w:space="0" w:color="BFCBDA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4E590A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8A8A8A"/>
                <w:sz w:val="19"/>
                <w:szCs w:val="19"/>
              </w:rPr>
              <w:t>1.</w:t>
            </w:r>
            <w:r>
              <w:rPr>
                <w:color w:val="8A8A8A"/>
                <w:sz w:val="19"/>
                <w:szCs w:val="19"/>
              </w:rPr>
              <w:tab/>
              <w:t>Utjecaj celijakije na zdravstveni status i životni stil djeteta</w:t>
            </w:r>
            <w:r>
              <w:rPr>
                <w:b/>
                <w:bCs/>
                <w:color w:val="B23B3B"/>
                <w:spacing w:val="10"/>
                <w:sz w:val="14"/>
                <w:szCs w:val="14"/>
              </w:rPr>
              <w:t xml:space="preserve">  ZAUZETA</w:t>
            </w:r>
          </w:p>
          <w:p w14:paraId="70BAD62E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8A8A8A"/>
                <w:sz w:val="19"/>
                <w:szCs w:val="19"/>
              </w:rPr>
              <w:t>2.</w:t>
            </w:r>
            <w:r>
              <w:rPr>
                <w:color w:val="8A8A8A"/>
                <w:sz w:val="19"/>
                <w:szCs w:val="19"/>
              </w:rPr>
              <w:tab/>
              <w:t>Skrb za dijete oboljelo od Diabetes mellitusa tipa 1 tijekom boravka u dječjem vrtiću</w:t>
            </w:r>
            <w:r>
              <w:rPr>
                <w:b/>
                <w:bCs/>
                <w:color w:val="B23B3B"/>
                <w:spacing w:val="10"/>
                <w:sz w:val="14"/>
                <w:szCs w:val="14"/>
              </w:rPr>
              <w:t xml:space="preserve">  ZAUZETA</w:t>
            </w:r>
          </w:p>
          <w:p w14:paraId="4AB7A529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8A8A8A"/>
                <w:sz w:val="19"/>
                <w:szCs w:val="19"/>
              </w:rPr>
              <w:t>3.</w:t>
            </w:r>
            <w:r>
              <w:rPr>
                <w:color w:val="8A8A8A"/>
                <w:sz w:val="19"/>
                <w:szCs w:val="19"/>
              </w:rPr>
              <w:tab/>
              <w:t>Uloga medicinske sestre u edukaciji roditelja i djeteta s alergijom na kikiriki kao prevencija životno ugrožavajuće alergijske reakcije</w:t>
            </w:r>
            <w:r>
              <w:rPr>
                <w:b/>
                <w:bCs/>
                <w:color w:val="B23B3B"/>
                <w:spacing w:val="10"/>
                <w:sz w:val="14"/>
                <w:szCs w:val="14"/>
              </w:rPr>
              <w:t xml:space="preserve">  ZAUZETA</w:t>
            </w:r>
          </w:p>
          <w:p w14:paraId="0247F8E1" w14:textId="77777777" w:rsidR="00121E9B" w:rsidRDefault="00AD40B5">
            <w:pPr>
              <w:tabs>
                <w:tab w:val="left" w:pos="340"/>
              </w:tabs>
              <w:spacing w:after="70" w:line="264" w:lineRule="auto"/>
              <w:ind w:left="340" w:hanging="340"/>
            </w:pPr>
            <w:r>
              <w:rPr>
                <w:b/>
                <w:bCs/>
                <w:color w:val="1F4E79"/>
                <w:sz w:val="19"/>
                <w:szCs w:val="19"/>
              </w:rPr>
              <w:t>4.</w:t>
            </w:r>
            <w:r>
              <w:rPr>
                <w:color w:val="262626"/>
                <w:sz w:val="19"/>
                <w:szCs w:val="19"/>
              </w:rPr>
              <w:tab/>
              <w:t>Utjecaj uporabe digitalnih uređaja na san, tjelesnu aktivnost i psihofizičko zdravlje djece</w:t>
            </w:r>
          </w:p>
        </w:tc>
      </w:tr>
    </w:tbl>
    <w:p w14:paraId="53200A25" w14:textId="77777777" w:rsidR="00FE76C6" w:rsidRDefault="00FE76C6"/>
    <w:sectPr w:rsidR="00FE76C6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711C" w14:textId="77777777" w:rsidR="00CC1461" w:rsidRDefault="00CC1461">
      <w:r>
        <w:separator/>
      </w:r>
    </w:p>
  </w:endnote>
  <w:endnote w:type="continuationSeparator" w:id="0">
    <w:p w14:paraId="7DBAFF94" w14:textId="77777777" w:rsidR="00CC1461" w:rsidRDefault="00CC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DC65C" w14:textId="77777777" w:rsidR="00CC1461" w:rsidRDefault="00CC1461">
      <w:r>
        <w:separator/>
      </w:r>
    </w:p>
  </w:footnote>
  <w:footnote w:type="continuationSeparator" w:id="0">
    <w:p w14:paraId="2A74F92A" w14:textId="77777777" w:rsidR="00CC1461" w:rsidRDefault="00CC1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C28B1"/>
    <w:multiLevelType w:val="hybridMultilevel"/>
    <w:tmpl w:val="B4885830"/>
    <w:lvl w:ilvl="0" w:tplc="7B82A38A">
      <w:start w:val="1"/>
      <w:numFmt w:val="bullet"/>
      <w:lvlText w:val="●"/>
      <w:lvlJc w:val="left"/>
      <w:pPr>
        <w:ind w:left="720" w:hanging="360"/>
      </w:pPr>
    </w:lvl>
    <w:lvl w:ilvl="1" w:tplc="91307BD8">
      <w:start w:val="1"/>
      <w:numFmt w:val="bullet"/>
      <w:lvlText w:val="○"/>
      <w:lvlJc w:val="left"/>
      <w:pPr>
        <w:ind w:left="1440" w:hanging="360"/>
      </w:pPr>
    </w:lvl>
    <w:lvl w:ilvl="2" w:tplc="B3B24068">
      <w:start w:val="1"/>
      <w:numFmt w:val="bullet"/>
      <w:lvlText w:val="■"/>
      <w:lvlJc w:val="left"/>
      <w:pPr>
        <w:ind w:left="2160" w:hanging="360"/>
      </w:pPr>
    </w:lvl>
    <w:lvl w:ilvl="3" w:tplc="665420D2">
      <w:start w:val="1"/>
      <w:numFmt w:val="bullet"/>
      <w:lvlText w:val="●"/>
      <w:lvlJc w:val="left"/>
      <w:pPr>
        <w:ind w:left="2880" w:hanging="360"/>
      </w:pPr>
    </w:lvl>
    <w:lvl w:ilvl="4" w:tplc="962CC53A">
      <w:start w:val="1"/>
      <w:numFmt w:val="bullet"/>
      <w:lvlText w:val="○"/>
      <w:lvlJc w:val="left"/>
      <w:pPr>
        <w:ind w:left="3600" w:hanging="360"/>
      </w:pPr>
    </w:lvl>
    <w:lvl w:ilvl="5" w:tplc="C07E175C">
      <w:start w:val="1"/>
      <w:numFmt w:val="bullet"/>
      <w:lvlText w:val="■"/>
      <w:lvlJc w:val="left"/>
      <w:pPr>
        <w:ind w:left="4320" w:hanging="360"/>
      </w:pPr>
    </w:lvl>
    <w:lvl w:ilvl="6" w:tplc="9F42506E">
      <w:start w:val="1"/>
      <w:numFmt w:val="bullet"/>
      <w:lvlText w:val="●"/>
      <w:lvlJc w:val="left"/>
      <w:pPr>
        <w:ind w:left="5040" w:hanging="360"/>
      </w:pPr>
    </w:lvl>
    <w:lvl w:ilvl="7" w:tplc="F89C306A">
      <w:start w:val="1"/>
      <w:numFmt w:val="bullet"/>
      <w:lvlText w:val="●"/>
      <w:lvlJc w:val="left"/>
      <w:pPr>
        <w:ind w:left="5760" w:hanging="360"/>
      </w:pPr>
    </w:lvl>
    <w:lvl w:ilvl="8" w:tplc="B2969DE4">
      <w:start w:val="1"/>
      <w:numFmt w:val="bullet"/>
      <w:lvlText w:val="●"/>
      <w:lvlJc w:val="left"/>
      <w:pPr>
        <w:ind w:left="6480" w:hanging="360"/>
      </w:pPr>
    </w:lvl>
  </w:abstractNum>
  <w:num w:numId="1" w16cid:durableId="977804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9B"/>
    <w:rsid w:val="00121E9B"/>
    <w:rsid w:val="0030339B"/>
    <w:rsid w:val="003635A5"/>
    <w:rsid w:val="005566D2"/>
    <w:rsid w:val="00905553"/>
    <w:rsid w:val="00AD40B5"/>
    <w:rsid w:val="00CC1461"/>
    <w:rsid w:val="00CE394B"/>
    <w:rsid w:val="00D05A0A"/>
    <w:rsid w:val="00D07A99"/>
    <w:rsid w:val="00E367FE"/>
    <w:rsid w:val="00FE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8250"/>
  <w15:docId w15:val="{59832EA4-C70B-4844-AA15-CBDED9D7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055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553"/>
  </w:style>
  <w:style w:type="paragraph" w:styleId="Footer">
    <w:name w:val="footer"/>
    <w:basedOn w:val="Normal"/>
    <w:link w:val="FooterChar"/>
    <w:uiPriority w:val="99"/>
    <w:unhideWhenUsed/>
    <w:rsid w:val="009055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2566</Words>
  <Characters>14629</Characters>
  <Application>Microsoft Office Word</Application>
  <DocSecurity>0</DocSecurity>
  <Lines>121</Lines>
  <Paragraphs>34</Paragraphs>
  <ScaleCrop>false</ScaleCrop>
  <Company/>
  <LinksUpToDate>false</LinksUpToDate>
  <CharactersWithSpaces>17161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2026-10-19T12:34:00Z</dcterms:created>
  <dcterms:modified xsi:type="dcterms:W3CDTF">2026-10-19T12:34:00Z</dcterms:modified>
</cp:coreProperties>
</file>